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spacing w:after="0" w:line="240" w:lineRule="auto"/>
      </w:pPr>
      <w:r>
        <w:rPr>
          <w:b/>
          <w:sz w:val="32"/>
        </w:rPr>
        <w:t xml:space="preserve">Замечания</w:t>
      </w:r>
      <w:r>
        <w:t xml:space="preserve">.</w:t>
      </w:r>
      <w:r/>
    </w:p>
    <w:p>
      <w:pPr>
        <w:ind w:firstLine="567"/>
        <w:jc w:val="both"/>
        <w:spacing w:after="0" w:line="240" w:lineRule="auto"/>
      </w:pPr>
      <w:r/>
      <w:r/>
    </w:p>
    <w:p>
      <w:pPr>
        <w:ind w:firstLine="567"/>
        <w:jc w:val="both"/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ТОМ 1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567"/>
        <w:jc w:val="both"/>
        <w:spacing w:after="0" w:line="240" w:lineRule="auto"/>
        <w:rPr>
          <w:b/>
        </w:rPr>
      </w:pPr>
      <w:r>
        <w:rPr>
          <w:b/>
        </w:rPr>
        <w:t xml:space="preserve">1.2.1. ООО «Петербургтеплоэнерго»</w:t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after="0" w:line="240" w:lineRule="auto"/>
      </w:pPr>
      <w:r>
        <w:t xml:space="preserve">1.2.1.1. Общие сведения</w:t>
      </w:r>
      <w:r/>
    </w:p>
    <w:p>
      <w:pPr>
        <w:ind w:firstLine="567"/>
        <w:jc w:val="both"/>
        <w:spacing w:after="0" w:line="240" w:lineRule="auto"/>
      </w:pPr>
      <w:r>
        <w:t xml:space="preserve">Мощность, отпускаемая в сеть от котельной, составляет 299,28 Гкал/</w:t>
      </w:r>
      <w:r>
        <w:t xml:space="preserve">ч</w:t>
      </w:r>
      <w:r>
        <w:t xml:space="preserve">, в том числе установленная мощность котельной – 199,52 Гкал/ч и 99,76 Гкал/ч – мощность, получаемая в тепловую схему котельной из тепловой сети АО «Теплосеть Санкт-Петербурга».</w:t>
      </w:r>
      <w:r/>
    </w:p>
    <w:p>
      <w:pPr>
        <w:ind w:firstLine="567"/>
        <w:jc w:val="both"/>
        <w:spacing w:after="0" w:line="240" w:lineRule="auto"/>
      </w:pPr>
      <w:r>
        <w:t xml:space="preserve">Основным видом топлива котельной является природный газ, резервный (аварийный) вид топлива – дизельное топливо.</w:t>
      </w:r>
      <w:r/>
    </w:p>
    <w:p>
      <w:pPr>
        <w:ind w:firstLine="567"/>
        <w:jc w:val="both"/>
        <w:spacing w:after="0" w:line="240" w:lineRule="auto"/>
      </w:pPr>
      <w:r>
        <w:t xml:space="preserve">Схема теплоснабжения – двухтрубная, закрытая. Регулирование отпуска тепловой энергии на котельной – качественное, в соответствии с утвержденным температурным графиком 130/70 °С.</w:t>
      </w:r>
      <w:r/>
    </w:p>
    <w:p>
      <w:pPr>
        <w:ind w:firstLine="567"/>
        <w:jc w:val="both"/>
        <w:spacing w:after="0" w:line="240" w:lineRule="auto"/>
      </w:pPr>
      <w:r>
        <w:t xml:space="preserve">Суммарная подключенная (договорная) нагрузка потребителей (без учета потерь в тепловых сетях) составляет </w:t>
      </w:r>
      <w:r>
        <w:rPr>
          <w:strike/>
        </w:rPr>
        <w:t xml:space="preserve">254,04</w:t>
      </w:r>
      <w:r>
        <w:t xml:space="preserve">  </w:t>
      </w:r>
      <w:r>
        <w:rPr>
          <w:highlight w:val="yellow"/>
        </w:rPr>
        <w:t xml:space="preserve">255,647</w:t>
      </w:r>
      <w:r>
        <w:t xml:space="preserve"> Гкал/</w:t>
      </w:r>
      <w:r>
        <w:t xml:space="preserve">ч</w:t>
      </w:r>
      <w:r>
        <w:t xml:space="preserve">, в </w:t>
      </w:r>
      <w:r>
        <w:t xml:space="preserve">т.ч</w:t>
      </w:r>
      <w:r>
        <w:t xml:space="preserve">.:</w:t>
      </w:r>
      <w:r/>
    </w:p>
    <w:p>
      <w:pPr>
        <w:ind w:firstLine="567"/>
        <w:jc w:val="both"/>
        <w:spacing w:after="0" w:line="240" w:lineRule="auto"/>
      </w:pPr>
      <w:r>
        <w:t xml:space="preserve"> Отопление и вентиляция – </w:t>
      </w:r>
      <w:r>
        <w:rPr>
          <w:strike/>
        </w:rPr>
        <w:t xml:space="preserve">214,98</w:t>
      </w:r>
      <w:r>
        <w:t xml:space="preserve"> </w:t>
      </w:r>
      <w:r>
        <w:rPr>
          <w:highlight w:val="yellow"/>
        </w:rPr>
        <w:t xml:space="preserve">216,593</w:t>
      </w:r>
      <w:r>
        <w:t xml:space="preserve">Гкал/</w:t>
      </w:r>
      <w:r>
        <w:t xml:space="preserve">ч</w:t>
      </w:r>
      <w:r>
        <w:t xml:space="preserve">;</w:t>
      </w:r>
      <w:r/>
    </w:p>
    <w:p>
      <w:pPr>
        <w:ind w:firstLine="567"/>
        <w:jc w:val="both"/>
        <w:spacing w:after="0" w:line="240" w:lineRule="auto"/>
      </w:pPr>
      <w:r>
        <w:t xml:space="preserve"> ГВС – 39,05 Гкал/</w:t>
      </w:r>
      <w:r>
        <w:t xml:space="preserve">ч</w:t>
      </w:r>
      <w:r>
        <w:t xml:space="preserve">.</w:t>
      </w:r>
      <w:r/>
    </w:p>
    <w:p>
      <w:pPr>
        <w:ind w:firstLine="567"/>
        <w:jc w:val="both"/>
        <w:spacing w:after="0" w:line="240" w:lineRule="auto"/>
        <w:rPr>
          <w:i/>
        </w:rPr>
      </w:pPr>
      <w:r>
        <w:t xml:space="preserve">С учетом потребителей на тер</w:t>
      </w:r>
      <w:r>
        <w:t xml:space="preserve">ритории п. Бугры – 9,312 Гкал/ч </w:t>
      </w:r>
      <w:r>
        <w:rPr>
          <w:highlight w:val="yellow"/>
        </w:rPr>
        <w:t xml:space="preserve">и от Суздальская т/м ТЭЦ – 21 -  1,828 Гкал/ч.</w:t>
      </w:r>
      <w:r>
        <w:t xml:space="preserve"> </w:t>
      </w:r>
      <w:r>
        <w:rPr>
          <w:highlight w:val="red"/>
        </w:rPr>
        <w:t xml:space="preserve">(подключение до котельной ЛО, г. </w:t>
      </w:r>
      <w:r>
        <w:rPr>
          <w:highlight w:val="red"/>
        </w:rPr>
        <w:t xml:space="preserve">Мурино</w:t>
      </w:r>
      <w:r>
        <w:rPr>
          <w:highlight w:val="red"/>
        </w:rPr>
        <w:t xml:space="preserve">, Охтинская </w:t>
      </w:r>
      <w:r>
        <w:rPr>
          <w:highlight w:val="red"/>
        </w:rPr>
        <w:t xml:space="preserve">ал</w:t>
      </w:r>
      <w:r>
        <w:rPr>
          <w:highlight w:val="red"/>
        </w:rPr>
        <w:t xml:space="preserve">., стр. 13, </w:t>
      </w:r>
      <w:r>
        <w:rPr>
          <w:i/>
          <w:highlight w:val="red"/>
        </w:rPr>
        <w:t xml:space="preserve">нужно ли </w:t>
      </w:r>
      <w:r>
        <w:rPr>
          <w:i/>
          <w:highlight w:val="red"/>
        </w:rPr>
        <w:t xml:space="preserve">показывать</w:t>
      </w:r>
      <w:r>
        <w:rPr>
          <w:i/>
          <w:highlight w:val="red"/>
        </w:rPr>
        <w:t xml:space="preserve">?)</w:t>
      </w:r>
      <w:r>
        <w:rPr>
          <w:i/>
        </w:rPr>
      </w:r>
      <w:r>
        <w:rPr>
          <w:i/>
        </w:rPr>
      </w:r>
    </w:p>
    <w:p>
      <w:pPr>
        <w:ind w:firstLine="567"/>
        <w:jc w:val="both"/>
        <w:spacing w:after="0" w:line="240" w:lineRule="auto"/>
      </w:pPr>
      <w:r>
        <w:t xml:space="preserve">Параметры теплоносителя:</w:t>
      </w:r>
      <w:r/>
    </w:p>
    <w:p>
      <w:pPr>
        <w:ind w:firstLine="567"/>
        <w:jc w:val="both"/>
        <w:spacing w:after="0" w:line="240" w:lineRule="auto"/>
      </w:pPr>
      <w:r>
        <w:t xml:space="preserve">Теплоноситель – вода.</w:t>
      </w:r>
      <w:r/>
    </w:p>
    <w:p>
      <w:pPr>
        <w:ind w:firstLine="567"/>
        <w:jc w:val="both"/>
        <w:spacing w:after="0" w:line="240" w:lineRule="auto"/>
      </w:pPr>
      <w:r>
        <w:t xml:space="preserve">Сети отопления – трубы стальные в ППУ изоляции и оцинкованной оболочке, способ прокладки - </w:t>
      </w:r>
      <w:r>
        <w:t xml:space="preserve">канальная</w:t>
      </w:r>
      <w:r>
        <w:t xml:space="preserve">, </w:t>
      </w:r>
      <w:r>
        <w:t xml:space="preserve">бесканальная</w:t>
      </w:r>
      <w:r>
        <w:t xml:space="preserve">, по подвалам в футляре.</w:t>
      </w:r>
      <w:r/>
    </w:p>
    <w:p>
      <w:pPr>
        <w:ind w:firstLine="567"/>
        <w:jc w:val="both"/>
        <w:spacing w:after="0" w:line="240" w:lineRule="auto"/>
        <w:rPr>
          <w:highlight w:val="none"/>
        </w:rPr>
      </w:pPr>
      <w:r>
        <w:t xml:space="preserve">Давление на выходных коллекторах котельной </w:t>
      </w:r>
      <w:r>
        <w:t xml:space="preserve">Р</w:t>
      </w:r>
      <w:r>
        <w:t xml:space="preserve"> 1 =97 м </w:t>
      </w:r>
      <w:r>
        <w:t xml:space="preserve">в.ст</w:t>
      </w:r>
      <w:r>
        <w:t xml:space="preserve">., Р 2 =74 м </w:t>
      </w:r>
      <w:r>
        <w:t xml:space="preserve">в.ст</w:t>
      </w:r>
      <w:r>
        <w:t xml:space="preserve">.</w:t>
      </w:r>
      <w:r>
        <w:rPr>
          <w:highlight w:val="none"/>
        </w:rPr>
      </w:r>
    </w:p>
    <w:p>
      <w:pPr>
        <w:ind w:firstLine="567"/>
        <w:jc w:val="both"/>
        <w:spacing w:after="0" w:line="240" w:lineRule="auto"/>
      </w:pPr>
      <w:r/>
      <w:r/>
    </w:p>
    <w:p>
      <w:pPr>
        <w:ind w:firstLine="567"/>
        <w:jc w:val="both"/>
        <w:spacing w:after="0" w:line="240" w:lineRule="auto"/>
      </w:pPr>
      <w:r>
        <w:rPr>
          <w:b/>
        </w:rPr>
        <w:t xml:space="preserve">Таблица 64</w:t>
      </w:r>
      <w:r>
        <w:rPr>
          <w:b/>
        </w:rPr>
        <w:t xml:space="preserve"> – </w:t>
      </w:r>
      <w:r>
        <w:t xml:space="preserve">соответственно</w:t>
      </w:r>
      <w:r>
        <w:rPr>
          <w:b/>
        </w:rPr>
        <w:t xml:space="preserve"> </w:t>
      </w:r>
      <w:r>
        <w:t xml:space="preserve">необходимо поправить</w:t>
      </w:r>
      <w:r/>
    </w:p>
    <w:p>
      <w:pPr>
        <w:ind w:firstLine="567"/>
        <w:jc w:val="both"/>
        <w:spacing w:after="0" w:line="240" w:lineRule="auto"/>
        <w:rPr>
          <w:highlight w:val="yellow"/>
        </w:rPr>
      </w:pPr>
      <w:r>
        <w:rPr>
          <w:highlight w:val="yellow"/>
        </w:rPr>
        <w:t xml:space="preserve">Отопление вентиляция - </w:t>
      </w:r>
      <w:r>
        <w:rPr>
          <w:highlight w:val="yellow"/>
        </w:rPr>
        <w:t xml:space="preserve">216,593 Гкал/</w:t>
      </w:r>
      <w:r>
        <w:rPr>
          <w:highlight w:val="yellow"/>
        </w:rPr>
        <w:t xml:space="preserve">ч</w:t>
      </w:r>
      <w:r>
        <w:rPr>
          <w:highlight w:val="yellow"/>
        </w:rPr>
        <w:t xml:space="preserve"> (в том числе 1,544 – Суздальская ТЭЦ)</w:t>
      </w:r>
      <w:r>
        <w:rPr>
          <w:highlight w:val="yellow"/>
        </w:rPr>
      </w:r>
      <w:r>
        <w:rPr>
          <w:highlight w:val="yellow"/>
        </w:rPr>
      </w:r>
    </w:p>
    <w:p>
      <w:pPr>
        <w:ind w:firstLine="567"/>
        <w:jc w:val="both"/>
        <w:spacing w:after="0" w:line="240" w:lineRule="auto"/>
      </w:pPr>
      <w:r>
        <w:rPr>
          <w:highlight w:val="yellow"/>
        </w:rPr>
        <w:t xml:space="preserve">ГВС - 39,05 (в том числе 0,28</w:t>
      </w:r>
      <w:r>
        <w:rPr>
          <w:highlight w:val="yellow"/>
        </w:rPr>
        <w:t xml:space="preserve">4</w:t>
      </w:r>
      <w:r>
        <w:rPr>
          <w:highlight w:val="yellow"/>
        </w:rPr>
        <w:t xml:space="preserve"> – Суздальская ТЭЦ)</w:t>
      </w:r>
      <w:r/>
    </w:p>
    <w:p>
      <w:pPr>
        <w:ind w:firstLine="567"/>
        <w:jc w:val="both"/>
        <w:spacing w:after="0" w:line="24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jc w:val="both"/>
        <w:spacing w:after="0" w:line="240" w:lineRule="auto"/>
      </w:pPr>
      <w:r>
        <w:rPr>
          <w:b/>
        </w:rPr>
        <w:t xml:space="preserve">Таблица 6</w:t>
      </w:r>
      <w:r>
        <w:rPr>
          <w:b/>
        </w:rPr>
        <w:t xml:space="preserve">5</w:t>
      </w:r>
      <w:r>
        <w:rPr>
          <w:b/>
        </w:rPr>
        <w:t xml:space="preserve"> – </w:t>
      </w:r>
      <w:r>
        <w:t xml:space="preserve">договорная нагрузка не соответствует таблице 64</w:t>
      </w:r>
      <w:r/>
    </w:p>
    <w:p>
      <w:pPr>
        <w:ind w:firstLine="567"/>
        <w:jc w:val="both"/>
        <w:spacing w:after="0" w:line="240" w:lineRule="auto"/>
      </w:pPr>
      <w:r/>
      <w:r/>
    </w:p>
    <w:p>
      <w:pPr>
        <w:ind w:firstLine="567"/>
        <w:jc w:val="both"/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ТОМ 2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567"/>
        <w:jc w:val="both"/>
        <w:spacing w:after="0" w:line="240" w:lineRule="auto"/>
      </w:pPr>
      <w:r>
        <w:t xml:space="preserve">Таблица 33. Балансы тепловой мощности котельной ООО «Петербургтеплоэнерго»</w:t>
      </w:r>
      <w:r/>
    </w:p>
    <w:p>
      <w:pPr>
        <w:ind w:firstLine="567"/>
        <w:jc w:val="both"/>
        <w:spacing w:after="0" w:line="240" w:lineRule="auto"/>
      </w:pPr>
      <w:r>
        <w:t xml:space="preserve">Присоединенная (фактическая) нагрузка</w:t>
      </w:r>
      <w:r>
        <w:t xml:space="preserve"> – это </w:t>
      </w:r>
      <w:r>
        <w:t xml:space="preserve">Расчетная</w:t>
      </w:r>
      <w:r>
        <w:t xml:space="preserve"> </w:t>
      </w:r>
      <w:r>
        <w:t xml:space="preserve">тепловая</w:t>
      </w:r>
      <w:r>
        <w:t xml:space="preserve"> </w:t>
      </w:r>
      <w:r>
        <w:t xml:space="preserve">нагрузка</w:t>
      </w:r>
      <w:r>
        <w:t xml:space="preserve"> из таблицы 65 ТОМ 1?</w:t>
      </w:r>
      <w:r/>
    </w:p>
    <w:p>
      <w:pPr>
        <w:ind w:firstLine="567"/>
        <w:jc w:val="both"/>
        <w:spacing w:after="0" w:line="240" w:lineRule="auto"/>
      </w:pPr>
      <w:r/>
      <w:r/>
    </w:p>
    <w:p>
      <w:pPr>
        <w:ind w:firstLine="567"/>
        <w:jc w:val="both"/>
        <w:spacing w:after="0" w:line="240" w:lineRule="auto"/>
      </w:pPr>
      <w:r/>
      <w:r/>
    </w:p>
    <w:p>
      <w:pPr>
        <w:ind w:firstLine="567"/>
        <w:jc w:val="both"/>
        <w:spacing w:after="0" w:line="240" w:lineRule="auto"/>
      </w:pPr>
      <w:r>
        <w:t xml:space="preserve">Свод </w:t>
      </w:r>
      <w:bookmarkStart w:id="0" w:name="_GoBack"/>
      <w:r>
        <w:rPr>
          <w:b/>
        </w:rPr>
        <w:t xml:space="preserve">договорных</w:t>
      </w:r>
      <w:r>
        <w:t xml:space="preserve"> </w:t>
      </w:r>
      <w:bookmarkEnd w:id="0"/>
      <w:r>
        <w:t xml:space="preserve">нагрузок по котельным и городам</w:t>
      </w:r>
      <w:r>
        <w:t xml:space="preserve"> на 31.12.2024</w:t>
      </w:r>
      <w:r>
        <w:t xml:space="preserve">.</w:t>
      </w:r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3696"/>
        <w:gridCol w:w="785"/>
        <w:gridCol w:w="1445"/>
        <w:gridCol w:w="1162"/>
        <w:gridCol w:w="973"/>
        <w:gridCol w:w="1125"/>
        <w:gridCol w:w="952"/>
      </w:tblGrid>
      <w:tr>
        <w:tblPrEx/>
        <w:trPr>
          <w:trHeight w:val="67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ИсточникТеплоснабжения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Город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Отопление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вентиляция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ГВС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технология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Потери в сетях абонента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6" w:type="pct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ЛО, г. Бугры 2-й Гаражный проезд, стр.14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9" w:type="pct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Бугры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22,059147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2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0,501003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3,558599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0,1512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0,015422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6" w:type="pct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ЛО, г. Бугры, 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Воронцовский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 бул., стр.1, корп.2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9" w:type="pct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Бугры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30,650056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2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4,429068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5,673754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0,056556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0,013851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6" w:type="pct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ЛО, г. 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Мурино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, Охтинская ал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стр. 13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9" w:type="pct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Бугры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7,613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2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0,38207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1,316583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" w:type="pct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0,173822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6" w:type="pct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ЛО, г. 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Мурино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, Охтинская ал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стр. 13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9" w:type="pct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Мурино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184,850069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2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20,872701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37,453603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1,330036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0,567615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6" w:type="pct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Суздальская т/м ТЭЦ - 21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9" w:type="pct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Мурино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0,217069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2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1,046466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0,283532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0,281401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  <w:t xml:space="preserve">0,020321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6" w:type="pct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  <w:t xml:space="preserve">Общий итог</w:t>
            </w:r>
            <w:r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9" w:type="pct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  <w:t xml:space="preserve">245,389341</w:t>
            </w:r>
            <w:r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2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  <w:t xml:space="preserve">27,231308</w:t>
            </w:r>
            <w:r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  <w:t xml:space="preserve">48,286071</w:t>
            </w:r>
            <w:r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  <w:t xml:space="preserve">1,819193</w:t>
            </w:r>
            <w:r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6" w:type="pct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  <w:t xml:space="preserve">0,791031</w:t>
            </w:r>
            <w:r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</w:r>
            <w:r>
              <w:rPr>
                <w:rFonts w:ascii="Arial" w:hAnsi="Arial" w:eastAsia="Times New Roman" w:cs="Arial"/>
                <w:b/>
                <w:i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ind w:firstLine="567"/>
        <w:jc w:val="both"/>
        <w:spacing w:after="0"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Закусилова Ксения Вячеславовна</dc:creator>
  <cp:revision>12</cp:revision>
  <dcterms:created xsi:type="dcterms:W3CDTF">2025-04-22T12:27:00Z</dcterms:created>
  <dcterms:modified xsi:type="dcterms:W3CDTF">2025-04-24T13:29:55Z</dcterms:modified>
</cp:coreProperties>
</file>